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951"/>
        <w:tblW w:w="14821" w:type="dxa"/>
        <w:tblLook w:val="04A0" w:firstRow="1" w:lastRow="0" w:firstColumn="1" w:lastColumn="0" w:noHBand="0" w:noVBand="1"/>
      </w:tblPr>
      <w:tblGrid>
        <w:gridCol w:w="1418"/>
        <w:gridCol w:w="1369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9D6A7C" w:rsidTr="007E723D">
        <w:tc>
          <w:tcPr>
            <w:tcW w:w="1418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Vrsta otpada</w:t>
            </w:r>
          </w:p>
        </w:tc>
        <w:tc>
          <w:tcPr>
            <w:tcW w:w="1369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Siječanj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Veljača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Ožujak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Travanj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Svibanj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Srpanj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Kolovoz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Rujan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Listopad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Studeni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Prosinac</w:t>
            </w:r>
          </w:p>
        </w:tc>
      </w:tr>
      <w:tr w:rsidR="009D6A7C" w:rsidTr="007E723D">
        <w:tc>
          <w:tcPr>
            <w:tcW w:w="1418" w:type="dxa"/>
            <w:shd w:val="clear" w:color="auto" w:fill="404040" w:themeFill="text1" w:themeFillTint="BF"/>
            <w:vAlign w:val="center"/>
          </w:tcPr>
          <w:p w:rsidR="009D6A7C" w:rsidRPr="00D3215D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D3215D">
              <w:rPr>
                <w:b/>
                <w:color w:val="FFFFFF" w:themeColor="background1"/>
              </w:rPr>
              <w:t>Miješani komunalni otpad</w:t>
            </w:r>
          </w:p>
        </w:tc>
        <w:tc>
          <w:tcPr>
            <w:tcW w:w="1369" w:type="dxa"/>
            <w:vAlign w:val="center"/>
          </w:tcPr>
          <w:p w:rsidR="009D6A7C" w:rsidRDefault="00D22EB5" w:rsidP="007E723D">
            <w:pPr>
              <w:jc w:val="center"/>
            </w:pPr>
            <w:r>
              <w:t>0</w:t>
            </w:r>
            <w:r w:rsidR="00825581">
              <w:t>8</w:t>
            </w:r>
            <w:r>
              <w:t>.01.</w:t>
            </w:r>
          </w:p>
          <w:p w:rsidR="00D22EB5" w:rsidRDefault="00825581" w:rsidP="007E723D">
            <w:pPr>
              <w:jc w:val="center"/>
            </w:pPr>
            <w:r>
              <w:t>22</w:t>
            </w:r>
            <w:r w:rsidR="00D22EB5">
              <w:t>.01.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05</w:t>
            </w:r>
            <w:r w:rsidR="00D22EB5">
              <w:t>.02.</w:t>
            </w:r>
          </w:p>
          <w:p w:rsidR="00D22EB5" w:rsidRDefault="00825581" w:rsidP="007E723D">
            <w:pPr>
              <w:jc w:val="center"/>
            </w:pPr>
            <w:r>
              <w:t>19</w:t>
            </w:r>
            <w:r w:rsidR="00D22EB5">
              <w:t>.02.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04</w:t>
            </w:r>
            <w:r w:rsidR="00D3215D">
              <w:t>.03.</w:t>
            </w:r>
          </w:p>
          <w:p w:rsidR="00D3215D" w:rsidRDefault="00825581" w:rsidP="007E723D">
            <w:pPr>
              <w:jc w:val="center"/>
            </w:pPr>
            <w:r>
              <w:t>18</w:t>
            </w:r>
            <w:r w:rsidR="00D3215D">
              <w:t>.03.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02</w:t>
            </w:r>
            <w:r w:rsidR="00D3215D">
              <w:t>.04.</w:t>
            </w:r>
          </w:p>
          <w:p w:rsidR="00D3215D" w:rsidRDefault="00825581" w:rsidP="007E723D">
            <w:pPr>
              <w:jc w:val="center"/>
            </w:pPr>
            <w:r>
              <w:t>15</w:t>
            </w:r>
            <w:r w:rsidR="00D3215D">
              <w:t>.04.</w:t>
            </w:r>
            <w:r>
              <w:t xml:space="preserve"> 29.04.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13</w:t>
            </w:r>
            <w:r w:rsidR="00D3215D">
              <w:t>.05.</w:t>
            </w:r>
          </w:p>
          <w:p w:rsidR="00D3215D" w:rsidRDefault="007E723D" w:rsidP="007E723D">
            <w:pPr>
              <w:jc w:val="center"/>
            </w:pPr>
            <w:r>
              <w:t>2</w:t>
            </w:r>
            <w:r w:rsidR="00825581">
              <w:t>7</w:t>
            </w:r>
            <w:r w:rsidR="00D3215D">
              <w:t>.05.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10</w:t>
            </w:r>
            <w:r w:rsidR="00D3215D">
              <w:t>.06.</w:t>
            </w:r>
          </w:p>
          <w:p w:rsidR="00D3215D" w:rsidRDefault="00825581" w:rsidP="007E723D">
            <w:pPr>
              <w:jc w:val="center"/>
            </w:pPr>
            <w:r>
              <w:t>24</w:t>
            </w:r>
            <w:r w:rsidR="00D3215D">
              <w:t>.06.</w:t>
            </w:r>
          </w:p>
        </w:tc>
        <w:tc>
          <w:tcPr>
            <w:tcW w:w="1094" w:type="dxa"/>
            <w:vAlign w:val="center"/>
          </w:tcPr>
          <w:p w:rsidR="009D6A7C" w:rsidRDefault="00EF0C92" w:rsidP="007E723D">
            <w:pPr>
              <w:jc w:val="center"/>
            </w:pPr>
            <w:r>
              <w:t>0</w:t>
            </w:r>
            <w:r w:rsidR="00825581">
              <w:t>8</w:t>
            </w:r>
            <w:r w:rsidR="00D3215D">
              <w:t>.07.</w:t>
            </w:r>
          </w:p>
          <w:p w:rsidR="00D3215D" w:rsidRDefault="00825581" w:rsidP="007E723D">
            <w:pPr>
              <w:jc w:val="center"/>
            </w:pPr>
            <w:r>
              <w:t>22</w:t>
            </w:r>
            <w:r w:rsidR="00D3215D">
              <w:t>.07.</w:t>
            </w:r>
          </w:p>
        </w:tc>
        <w:tc>
          <w:tcPr>
            <w:tcW w:w="1094" w:type="dxa"/>
            <w:vAlign w:val="center"/>
          </w:tcPr>
          <w:p w:rsidR="00D3215D" w:rsidRDefault="00825581" w:rsidP="00EF0C92">
            <w:pPr>
              <w:jc w:val="center"/>
            </w:pPr>
            <w:r>
              <w:t>06</w:t>
            </w:r>
            <w:r w:rsidR="00D3215D">
              <w:t>.08.</w:t>
            </w:r>
          </w:p>
          <w:p w:rsidR="00D3215D" w:rsidRDefault="00EF0C92" w:rsidP="007E723D">
            <w:pPr>
              <w:jc w:val="center"/>
            </w:pPr>
            <w:r>
              <w:t>1</w:t>
            </w:r>
            <w:r w:rsidR="00825581">
              <w:t>9</w:t>
            </w:r>
            <w:r w:rsidR="00D3215D">
              <w:t>.08.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02</w:t>
            </w:r>
            <w:r w:rsidR="00D3215D">
              <w:t>.09.</w:t>
            </w:r>
          </w:p>
          <w:p w:rsidR="00D3215D" w:rsidRDefault="00825581" w:rsidP="007E723D">
            <w:pPr>
              <w:jc w:val="center"/>
            </w:pPr>
            <w:r>
              <w:t>16</w:t>
            </w:r>
            <w:r w:rsidR="00D3215D">
              <w:t>.09.</w:t>
            </w:r>
            <w:r>
              <w:t xml:space="preserve"> 30.09.</w:t>
            </w:r>
          </w:p>
        </w:tc>
        <w:tc>
          <w:tcPr>
            <w:tcW w:w="1094" w:type="dxa"/>
            <w:vAlign w:val="center"/>
          </w:tcPr>
          <w:p w:rsidR="009D6A7C" w:rsidRDefault="00825581" w:rsidP="00825581">
            <w:r>
              <w:t xml:space="preserve">   </w:t>
            </w:r>
            <w:r w:rsidR="00EF0C92">
              <w:t>1</w:t>
            </w:r>
            <w:r>
              <w:t>4</w:t>
            </w:r>
            <w:r w:rsidR="00D3215D">
              <w:t>.10.</w:t>
            </w:r>
          </w:p>
          <w:p w:rsidR="00D3215D" w:rsidRDefault="00825581" w:rsidP="007E723D">
            <w:pPr>
              <w:jc w:val="center"/>
            </w:pPr>
            <w:r>
              <w:t>28</w:t>
            </w:r>
            <w:r w:rsidR="00D3215D">
              <w:t>.10.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11</w:t>
            </w:r>
            <w:r w:rsidR="00D3215D">
              <w:t>.11.</w:t>
            </w:r>
          </w:p>
          <w:p w:rsidR="00D3215D" w:rsidRDefault="00825581" w:rsidP="007E723D">
            <w:pPr>
              <w:jc w:val="center"/>
            </w:pPr>
            <w:r>
              <w:t>25</w:t>
            </w:r>
            <w:r w:rsidR="00D3215D">
              <w:t>.11.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09</w:t>
            </w:r>
            <w:r w:rsidR="00D3215D">
              <w:t>.12.</w:t>
            </w:r>
          </w:p>
          <w:p w:rsidR="00D3215D" w:rsidRDefault="00825581" w:rsidP="007E723D">
            <w:pPr>
              <w:jc w:val="center"/>
            </w:pPr>
            <w:r>
              <w:t>23</w:t>
            </w:r>
            <w:r w:rsidR="00D3215D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996633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504D8">
              <w:rPr>
                <w:b/>
                <w:color w:val="FFFFFF" w:themeColor="background1"/>
              </w:rPr>
              <w:t>Biootpad</w:t>
            </w:r>
            <w:proofErr w:type="spellEnd"/>
          </w:p>
        </w:tc>
        <w:tc>
          <w:tcPr>
            <w:tcW w:w="1369" w:type="dxa"/>
            <w:vAlign w:val="center"/>
          </w:tcPr>
          <w:p w:rsidR="0080118E" w:rsidRDefault="0080118E" w:rsidP="0080118E">
            <w:pPr>
              <w:jc w:val="center"/>
            </w:pPr>
            <w:r>
              <w:t>11.01.</w:t>
            </w:r>
          </w:p>
          <w:p w:rsidR="009D6A7C" w:rsidRDefault="0080118E" w:rsidP="0080118E">
            <w:pPr>
              <w:jc w:val="center"/>
            </w:pPr>
            <w:r>
              <w:t>25.01.</w:t>
            </w:r>
          </w:p>
        </w:tc>
        <w:tc>
          <w:tcPr>
            <w:tcW w:w="1094" w:type="dxa"/>
            <w:vAlign w:val="center"/>
          </w:tcPr>
          <w:p w:rsidR="0080118E" w:rsidRDefault="0080118E" w:rsidP="0080118E">
            <w:pPr>
              <w:jc w:val="center"/>
            </w:pPr>
            <w:r>
              <w:t>08.02.</w:t>
            </w:r>
          </w:p>
          <w:p w:rsidR="009D6A7C" w:rsidRDefault="0080118E" w:rsidP="0080118E">
            <w:pPr>
              <w:jc w:val="center"/>
            </w:pPr>
            <w:r>
              <w:t>22.02.</w:t>
            </w:r>
          </w:p>
        </w:tc>
        <w:tc>
          <w:tcPr>
            <w:tcW w:w="1094" w:type="dxa"/>
            <w:vAlign w:val="center"/>
          </w:tcPr>
          <w:p w:rsidR="0080118E" w:rsidRDefault="0080118E" w:rsidP="0080118E">
            <w:pPr>
              <w:jc w:val="center"/>
            </w:pPr>
            <w:r>
              <w:t>07.03.</w:t>
            </w:r>
          </w:p>
          <w:p w:rsidR="009D6A7C" w:rsidRDefault="0080118E" w:rsidP="0080118E">
            <w:pPr>
              <w:jc w:val="center"/>
            </w:pPr>
            <w:r>
              <w:t>21.03.</w:t>
            </w:r>
          </w:p>
        </w:tc>
        <w:tc>
          <w:tcPr>
            <w:tcW w:w="1094" w:type="dxa"/>
            <w:vAlign w:val="center"/>
          </w:tcPr>
          <w:p w:rsidR="00951EAD" w:rsidRDefault="00FB3852" w:rsidP="00951EAD">
            <w:pPr>
              <w:jc w:val="center"/>
            </w:pPr>
            <w:r>
              <w:t>04</w:t>
            </w:r>
            <w:r w:rsidR="00951EAD">
              <w:t>.04.</w:t>
            </w:r>
          </w:p>
          <w:p w:rsidR="009D6A7C" w:rsidRDefault="00FB3852" w:rsidP="00951EAD">
            <w:pPr>
              <w:jc w:val="center"/>
            </w:pPr>
            <w:r>
              <w:t>18</w:t>
            </w:r>
            <w:r w:rsidR="00951EAD">
              <w:t>.04.</w:t>
            </w:r>
          </w:p>
        </w:tc>
        <w:tc>
          <w:tcPr>
            <w:tcW w:w="1094" w:type="dxa"/>
            <w:vAlign w:val="center"/>
          </w:tcPr>
          <w:p w:rsidR="00951EAD" w:rsidRDefault="00951EAD" w:rsidP="00951EAD">
            <w:pPr>
              <w:jc w:val="center"/>
            </w:pPr>
            <w:r>
              <w:t>02.05.</w:t>
            </w:r>
          </w:p>
          <w:p w:rsidR="00951EAD" w:rsidRDefault="00FB3852" w:rsidP="00951EAD">
            <w:pPr>
              <w:jc w:val="center"/>
            </w:pPr>
            <w:r>
              <w:t>16</w:t>
            </w:r>
            <w:r w:rsidR="00A829CC">
              <w:t>.05</w:t>
            </w:r>
            <w:r w:rsidR="00951EAD">
              <w:t>.</w:t>
            </w:r>
          </w:p>
          <w:p w:rsidR="009D6A7C" w:rsidRDefault="00FB3852" w:rsidP="00951EAD">
            <w:pPr>
              <w:jc w:val="center"/>
            </w:pPr>
            <w:r>
              <w:t>31</w:t>
            </w:r>
            <w:r w:rsidR="00951EAD">
              <w:t>.05.</w:t>
            </w:r>
          </w:p>
        </w:tc>
        <w:tc>
          <w:tcPr>
            <w:tcW w:w="1094" w:type="dxa"/>
            <w:vAlign w:val="center"/>
          </w:tcPr>
          <w:p w:rsidR="00951EAD" w:rsidRDefault="00FB3852" w:rsidP="00951EAD">
            <w:pPr>
              <w:jc w:val="center"/>
            </w:pPr>
            <w:r>
              <w:t>13</w:t>
            </w:r>
            <w:r w:rsidR="00951EAD">
              <w:t>.06.</w:t>
            </w:r>
          </w:p>
          <w:p w:rsidR="009D6A7C" w:rsidRDefault="00FB3852" w:rsidP="00951EAD">
            <w:pPr>
              <w:jc w:val="center"/>
            </w:pPr>
            <w:r>
              <w:t>27</w:t>
            </w:r>
            <w:r w:rsidR="00951EAD">
              <w:t>.06.</w:t>
            </w:r>
          </w:p>
        </w:tc>
        <w:tc>
          <w:tcPr>
            <w:tcW w:w="1094" w:type="dxa"/>
            <w:vAlign w:val="center"/>
          </w:tcPr>
          <w:p w:rsidR="00951EAD" w:rsidRDefault="00FB3852" w:rsidP="00951EAD">
            <w:pPr>
              <w:jc w:val="center"/>
            </w:pPr>
            <w:r>
              <w:t>11</w:t>
            </w:r>
            <w:r w:rsidR="00951EAD">
              <w:t>.07.</w:t>
            </w:r>
          </w:p>
          <w:p w:rsidR="009D6A7C" w:rsidRDefault="00FB3852" w:rsidP="00951EAD">
            <w:pPr>
              <w:jc w:val="center"/>
            </w:pPr>
            <w:r>
              <w:t>25</w:t>
            </w:r>
            <w:r w:rsidR="00951EAD">
              <w:t>.07.</w:t>
            </w:r>
          </w:p>
        </w:tc>
        <w:tc>
          <w:tcPr>
            <w:tcW w:w="1094" w:type="dxa"/>
            <w:vAlign w:val="center"/>
          </w:tcPr>
          <w:p w:rsidR="00951EAD" w:rsidRDefault="00FB3852" w:rsidP="00951EAD">
            <w:pPr>
              <w:jc w:val="center"/>
            </w:pPr>
            <w:r>
              <w:t>08</w:t>
            </w:r>
            <w:r w:rsidR="00951EAD">
              <w:t>.08.</w:t>
            </w:r>
          </w:p>
          <w:p w:rsidR="009D6A7C" w:rsidRDefault="00FB3852" w:rsidP="00951EAD">
            <w:pPr>
              <w:jc w:val="center"/>
            </w:pPr>
            <w:r>
              <w:t>22</w:t>
            </w:r>
            <w:r w:rsidR="00951EAD">
              <w:t>.08.</w:t>
            </w:r>
          </w:p>
        </w:tc>
        <w:tc>
          <w:tcPr>
            <w:tcW w:w="1094" w:type="dxa"/>
            <w:vAlign w:val="center"/>
          </w:tcPr>
          <w:p w:rsidR="00951EAD" w:rsidRDefault="00FB3852" w:rsidP="00951EAD">
            <w:pPr>
              <w:jc w:val="center"/>
            </w:pPr>
            <w:r>
              <w:t>05</w:t>
            </w:r>
            <w:r w:rsidR="00951EAD">
              <w:t>.09.</w:t>
            </w:r>
          </w:p>
          <w:p w:rsidR="009D6A7C" w:rsidRDefault="00FB3852" w:rsidP="00951EAD">
            <w:pPr>
              <w:jc w:val="center"/>
            </w:pPr>
            <w:r>
              <w:t>19</w:t>
            </w:r>
            <w:r w:rsidR="00951EAD">
              <w:t>.09.</w:t>
            </w:r>
          </w:p>
        </w:tc>
        <w:tc>
          <w:tcPr>
            <w:tcW w:w="1094" w:type="dxa"/>
            <w:vAlign w:val="center"/>
          </w:tcPr>
          <w:p w:rsidR="00951EAD" w:rsidRDefault="00FB3852" w:rsidP="00951EAD">
            <w:pPr>
              <w:jc w:val="center"/>
            </w:pPr>
            <w:r>
              <w:t>03</w:t>
            </w:r>
            <w:r w:rsidR="00951EAD">
              <w:t>.10.</w:t>
            </w:r>
          </w:p>
          <w:p w:rsidR="00951EAD" w:rsidRDefault="00FB3852" w:rsidP="00951EAD">
            <w:pPr>
              <w:jc w:val="center"/>
            </w:pPr>
            <w:r>
              <w:t>17</w:t>
            </w:r>
            <w:r w:rsidR="00951EAD">
              <w:t>.10.</w:t>
            </w:r>
          </w:p>
          <w:p w:rsidR="009D6A7C" w:rsidRDefault="00FB3852" w:rsidP="00951EAD">
            <w:pPr>
              <w:jc w:val="center"/>
            </w:pPr>
            <w:r>
              <w:t>31</w:t>
            </w:r>
            <w:r w:rsidR="00951EAD">
              <w:t>.10.</w:t>
            </w:r>
          </w:p>
        </w:tc>
        <w:tc>
          <w:tcPr>
            <w:tcW w:w="1094" w:type="dxa"/>
            <w:vAlign w:val="center"/>
          </w:tcPr>
          <w:p w:rsidR="00951EAD" w:rsidRDefault="00FB3852" w:rsidP="00951EAD">
            <w:pPr>
              <w:jc w:val="center"/>
            </w:pPr>
            <w:r>
              <w:t>14</w:t>
            </w:r>
            <w:r w:rsidR="00951EAD">
              <w:t>.11.</w:t>
            </w:r>
          </w:p>
          <w:p w:rsidR="009D6A7C" w:rsidRDefault="00FB3852" w:rsidP="00951EAD">
            <w:pPr>
              <w:jc w:val="center"/>
            </w:pPr>
            <w:r>
              <w:t>28</w:t>
            </w:r>
            <w:r w:rsidR="00951EAD">
              <w:t>.11.</w:t>
            </w:r>
          </w:p>
        </w:tc>
        <w:tc>
          <w:tcPr>
            <w:tcW w:w="1094" w:type="dxa"/>
            <w:vAlign w:val="center"/>
          </w:tcPr>
          <w:p w:rsidR="00951EAD" w:rsidRDefault="00FB3852" w:rsidP="00951EAD">
            <w:pPr>
              <w:jc w:val="center"/>
            </w:pPr>
            <w:r>
              <w:t>12</w:t>
            </w:r>
            <w:r w:rsidR="00951EAD">
              <w:t>.12.</w:t>
            </w:r>
          </w:p>
          <w:p w:rsidR="009D6A7C" w:rsidRDefault="00FB3852" w:rsidP="00951EAD">
            <w:pPr>
              <w:jc w:val="center"/>
            </w:pPr>
            <w:r>
              <w:t>27</w:t>
            </w:r>
            <w:r w:rsidR="00951EAD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548DD4" w:themeFill="text2" w:themeFillTint="99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Papir/karton</w:t>
            </w:r>
          </w:p>
        </w:tc>
        <w:tc>
          <w:tcPr>
            <w:tcW w:w="1369" w:type="dxa"/>
            <w:vAlign w:val="center"/>
          </w:tcPr>
          <w:p w:rsidR="00D3215D" w:rsidRDefault="00EF0C92" w:rsidP="007E723D">
            <w:pPr>
              <w:jc w:val="center"/>
            </w:pPr>
            <w:r>
              <w:t>02</w:t>
            </w:r>
            <w:r w:rsidR="00D3215D">
              <w:t>.01.</w:t>
            </w:r>
          </w:p>
          <w:p w:rsidR="009D6A7C" w:rsidRDefault="00825581" w:rsidP="007E723D">
            <w:pPr>
              <w:jc w:val="center"/>
            </w:pPr>
            <w:r>
              <w:t>29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26</w:t>
            </w:r>
            <w:r w:rsidR="00D3215D" w:rsidRPr="00D3215D">
              <w:t>.02.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25</w:t>
            </w:r>
            <w:r w:rsidR="00D3215D">
              <w:t>.03</w:t>
            </w:r>
            <w:r w:rsidR="00D3215D" w:rsidRPr="00D3215D">
              <w:t>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22</w:t>
            </w:r>
            <w:r w:rsidR="00D3215D">
              <w:t>.04</w:t>
            </w:r>
            <w:r w:rsidR="00D3215D" w:rsidRPr="00D3215D">
              <w:t>.</w:t>
            </w:r>
          </w:p>
        </w:tc>
        <w:tc>
          <w:tcPr>
            <w:tcW w:w="1094" w:type="dxa"/>
            <w:vAlign w:val="center"/>
          </w:tcPr>
          <w:p w:rsidR="009D6A7C" w:rsidRDefault="00EF0C92" w:rsidP="00EF0C92">
            <w:pPr>
              <w:jc w:val="center"/>
            </w:pPr>
            <w:r>
              <w:t>2</w:t>
            </w:r>
            <w:r w:rsidR="00825581">
              <w:t>0</w:t>
            </w:r>
            <w:r w:rsidR="00D3215D">
              <w:t>.05.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17</w:t>
            </w:r>
            <w:r w:rsidR="00D3215D">
              <w:t>.06.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15</w:t>
            </w:r>
            <w:r w:rsidR="00D3215D">
              <w:t>.07.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12</w:t>
            </w:r>
            <w:r w:rsidR="00D3215D">
              <w:t>.08.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09</w:t>
            </w:r>
            <w:r w:rsidR="00D3215D">
              <w:t>.09.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07</w:t>
            </w:r>
            <w:r w:rsidR="00D3215D">
              <w:t>.10.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04</w:t>
            </w:r>
            <w:r w:rsidR="00D3215D">
              <w:t>.11.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02</w:t>
            </w:r>
            <w:r w:rsidR="00D3215D">
              <w:t>.12.</w:t>
            </w:r>
            <w:r>
              <w:t xml:space="preserve"> 30.12.</w:t>
            </w:r>
          </w:p>
        </w:tc>
      </w:tr>
      <w:tr w:rsidR="009D6A7C" w:rsidTr="007E723D">
        <w:tc>
          <w:tcPr>
            <w:tcW w:w="1418" w:type="dxa"/>
            <w:shd w:val="clear" w:color="auto" w:fill="FFFF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Plastika</w:t>
            </w:r>
          </w:p>
        </w:tc>
        <w:tc>
          <w:tcPr>
            <w:tcW w:w="1369" w:type="dxa"/>
            <w:vAlign w:val="center"/>
          </w:tcPr>
          <w:p w:rsidR="009D6A7C" w:rsidRDefault="00825581" w:rsidP="007E723D">
            <w:pPr>
              <w:jc w:val="center"/>
            </w:pPr>
            <w:r>
              <w:t>15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12</w:t>
            </w:r>
            <w:r w:rsidR="009F2976">
              <w:t>.02.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11</w:t>
            </w:r>
            <w:r w:rsidR="009F2976">
              <w:t>.03.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08</w:t>
            </w:r>
            <w:r w:rsidR="009F2976">
              <w:t>.04.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06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03</w:t>
            </w:r>
            <w:r w:rsidR="009F2976">
              <w:t>.06.</w:t>
            </w:r>
          </w:p>
        </w:tc>
        <w:tc>
          <w:tcPr>
            <w:tcW w:w="1094" w:type="dxa"/>
            <w:vAlign w:val="center"/>
          </w:tcPr>
          <w:p w:rsidR="00EF0C92" w:rsidRDefault="00825581" w:rsidP="007E723D">
            <w:pPr>
              <w:jc w:val="center"/>
            </w:pPr>
            <w:r>
              <w:t>01</w:t>
            </w:r>
            <w:r w:rsidR="00EF0C92">
              <w:t>.07.</w:t>
            </w:r>
          </w:p>
          <w:p w:rsidR="009D6A7C" w:rsidRDefault="00825581" w:rsidP="007E723D">
            <w:pPr>
              <w:jc w:val="center"/>
            </w:pPr>
            <w:r>
              <w:t>29</w:t>
            </w:r>
            <w:r w:rsidR="009F2976">
              <w:t>.07.</w:t>
            </w:r>
          </w:p>
        </w:tc>
        <w:tc>
          <w:tcPr>
            <w:tcW w:w="1094" w:type="dxa"/>
            <w:vAlign w:val="center"/>
          </w:tcPr>
          <w:p w:rsidR="009D6A7C" w:rsidRDefault="00EF0C92" w:rsidP="007E723D">
            <w:pPr>
              <w:jc w:val="center"/>
            </w:pPr>
            <w:r>
              <w:t>2</w:t>
            </w:r>
            <w:r w:rsidR="00825581">
              <w:t>6</w:t>
            </w:r>
            <w:r w:rsid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EF0C92" w:rsidP="007E723D">
            <w:pPr>
              <w:jc w:val="center"/>
            </w:pPr>
            <w:r>
              <w:t>2</w:t>
            </w:r>
            <w:r w:rsidR="00825581">
              <w:t>3</w:t>
            </w:r>
            <w:r w:rsidR="009F2976">
              <w:t>.09.</w:t>
            </w:r>
          </w:p>
        </w:tc>
        <w:tc>
          <w:tcPr>
            <w:tcW w:w="1094" w:type="dxa"/>
            <w:vAlign w:val="center"/>
          </w:tcPr>
          <w:p w:rsidR="009F2976" w:rsidRDefault="00EF0C92" w:rsidP="00EF0C92">
            <w:pPr>
              <w:jc w:val="center"/>
            </w:pPr>
            <w:r>
              <w:t>2</w:t>
            </w:r>
            <w:r w:rsidR="00825581">
              <w:t>1</w:t>
            </w:r>
            <w:r w:rsidR="009F2976">
              <w:t>.10.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19.</w:t>
            </w:r>
            <w:r w:rsidR="009F2976">
              <w:t>11.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16</w:t>
            </w:r>
            <w:r w:rsidR="009F2976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Metal</w:t>
            </w:r>
          </w:p>
        </w:tc>
        <w:tc>
          <w:tcPr>
            <w:tcW w:w="1369" w:type="dxa"/>
            <w:vAlign w:val="center"/>
          </w:tcPr>
          <w:p w:rsidR="007C6CE6" w:rsidRDefault="007C6CE6" w:rsidP="007C6CE6">
            <w:pPr>
              <w:jc w:val="center"/>
            </w:pPr>
            <w:r>
              <w:t>02.01.</w:t>
            </w:r>
          </w:p>
          <w:p w:rsidR="009D6A7C" w:rsidRDefault="007C6CE6" w:rsidP="007C6CE6">
            <w:pPr>
              <w:jc w:val="center"/>
            </w:pPr>
            <w:r>
              <w:t>29.01.</w:t>
            </w:r>
          </w:p>
        </w:tc>
        <w:tc>
          <w:tcPr>
            <w:tcW w:w="1094" w:type="dxa"/>
            <w:vAlign w:val="center"/>
          </w:tcPr>
          <w:p w:rsidR="009D6A7C" w:rsidRDefault="007C6CE6" w:rsidP="007E723D">
            <w:pPr>
              <w:jc w:val="center"/>
            </w:pPr>
            <w:r w:rsidRPr="007C6CE6">
              <w:t>26.02.</w:t>
            </w:r>
          </w:p>
        </w:tc>
        <w:tc>
          <w:tcPr>
            <w:tcW w:w="1094" w:type="dxa"/>
            <w:vAlign w:val="center"/>
          </w:tcPr>
          <w:p w:rsidR="009D6A7C" w:rsidRDefault="007C6CE6" w:rsidP="007E723D">
            <w:pPr>
              <w:jc w:val="center"/>
            </w:pPr>
            <w:r w:rsidRPr="007C6CE6">
              <w:t>25.03.</w:t>
            </w:r>
          </w:p>
        </w:tc>
        <w:tc>
          <w:tcPr>
            <w:tcW w:w="1094" w:type="dxa"/>
            <w:vAlign w:val="center"/>
          </w:tcPr>
          <w:p w:rsidR="009D6A7C" w:rsidRDefault="007C6CE6" w:rsidP="007E723D">
            <w:pPr>
              <w:jc w:val="center"/>
            </w:pPr>
            <w:r w:rsidRPr="007C6CE6">
              <w:t>22.04.</w:t>
            </w:r>
          </w:p>
        </w:tc>
        <w:tc>
          <w:tcPr>
            <w:tcW w:w="1094" w:type="dxa"/>
            <w:vAlign w:val="center"/>
          </w:tcPr>
          <w:p w:rsidR="009D6A7C" w:rsidRDefault="007C6CE6" w:rsidP="007E723D">
            <w:pPr>
              <w:jc w:val="center"/>
            </w:pPr>
            <w:r w:rsidRPr="007C6CE6">
              <w:t>20.05.</w:t>
            </w:r>
          </w:p>
        </w:tc>
        <w:tc>
          <w:tcPr>
            <w:tcW w:w="1094" w:type="dxa"/>
            <w:vAlign w:val="center"/>
          </w:tcPr>
          <w:p w:rsidR="009D6A7C" w:rsidRDefault="007C6CE6" w:rsidP="007E723D">
            <w:pPr>
              <w:jc w:val="center"/>
            </w:pPr>
            <w:r w:rsidRPr="007C6CE6">
              <w:t>17.06.</w:t>
            </w:r>
          </w:p>
        </w:tc>
        <w:tc>
          <w:tcPr>
            <w:tcW w:w="1094" w:type="dxa"/>
            <w:vAlign w:val="center"/>
          </w:tcPr>
          <w:p w:rsidR="009D6A7C" w:rsidRDefault="007C6CE6" w:rsidP="005F5808">
            <w:pPr>
              <w:jc w:val="center"/>
            </w:pPr>
            <w:r w:rsidRPr="007C6CE6">
              <w:t>15.07.</w:t>
            </w:r>
          </w:p>
        </w:tc>
        <w:tc>
          <w:tcPr>
            <w:tcW w:w="1094" w:type="dxa"/>
            <w:vAlign w:val="center"/>
          </w:tcPr>
          <w:p w:rsidR="009D6A7C" w:rsidRDefault="007C6CE6" w:rsidP="007E723D">
            <w:pPr>
              <w:jc w:val="center"/>
            </w:pPr>
            <w:r w:rsidRPr="007C6CE6">
              <w:t>12.08.</w:t>
            </w:r>
          </w:p>
        </w:tc>
        <w:tc>
          <w:tcPr>
            <w:tcW w:w="1094" w:type="dxa"/>
            <w:vAlign w:val="center"/>
          </w:tcPr>
          <w:p w:rsidR="009D6A7C" w:rsidRDefault="007C6CE6" w:rsidP="007E723D">
            <w:pPr>
              <w:jc w:val="center"/>
            </w:pPr>
            <w:r w:rsidRPr="007C6CE6">
              <w:t>09.09.</w:t>
            </w:r>
          </w:p>
        </w:tc>
        <w:tc>
          <w:tcPr>
            <w:tcW w:w="1094" w:type="dxa"/>
            <w:vAlign w:val="center"/>
          </w:tcPr>
          <w:p w:rsidR="009D6A7C" w:rsidRDefault="007C6CE6" w:rsidP="00951EAD">
            <w:pPr>
              <w:jc w:val="center"/>
            </w:pPr>
            <w:r w:rsidRPr="007C6CE6">
              <w:t>07.10.</w:t>
            </w:r>
          </w:p>
        </w:tc>
        <w:tc>
          <w:tcPr>
            <w:tcW w:w="1094" w:type="dxa"/>
            <w:vAlign w:val="center"/>
          </w:tcPr>
          <w:p w:rsidR="009D6A7C" w:rsidRDefault="007C6CE6" w:rsidP="007E723D">
            <w:pPr>
              <w:jc w:val="center"/>
            </w:pPr>
            <w:r w:rsidRPr="007C6CE6">
              <w:t>04.11.</w:t>
            </w:r>
          </w:p>
        </w:tc>
        <w:tc>
          <w:tcPr>
            <w:tcW w:w="1094" w:type="dxa"/>
            <w:vAlign w:val="center"/>
          </w:tcPr>
          <w:p w:rsidR="009D6A7C" w:rsidRDefault="007C6CE6" w:rsidP="007E723D">
            <w:pPr>
              <w:jc w:val="center"/>
            </w:pPr>
            <w:r w:rsidRPr="007C6CE6">
              <w:t>02.12. 30.12.</w:t>
            </w:r>
          </w:p>
        </w:tc>
      </w:tr>
      <w:tr w:rsidR="009D6A7C" w:rsidTr="0025157C">
        <w:tc>
          <w:tcPr>
            <w:tcW w:w="1418" w:type="dxa"/>
            <w:shd w:val="clear" w:color="auto" w:fill="92D05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Staklo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F2976" w:rsidRDefault="0025157C" w:rsidP="0025157C">
            <w:pPr>
              <w:jc w:val="center"/>
            </w:pPr>
            <w:r>
              <w:t>05.02.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2E4F1F" w:rsidP="007E723D">
            <w:pPr>
              <w:jc w:val="center"/>
            </w:pPr>
            <w:r>
              <w:t>27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  <w:p w:rsidR="0025157C" w:rsidRDefault="002515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2E4F1F" w:rsidP="007E723D">
            <w:pPr>
              <w:jc w:val="center"/>
            </w:pPr>
            <w:r>
              <w:t>06</w:t>
            </w:r>
            <w:r w:rsid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2E4F1F" w:rsidP="007E723D">
            <w:pPr>
              <w:jc w:val="center"/>
            </w:pPr>
            <w:r>
              <w:t>11</w:t>
            </w:r>
            <w:r w:rsid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7E723D">
        <w:tc>
          <w:tcPr>
            <w:tcW w:w="1418" w:type="dxa"/>
            <w:shd w:val="clear" w:color="auto" w:fill="0080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Tekstil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F2976" w:rsidRDefault="00951EAD" w:rsidP="00BE57AB">
            <w:pPr>
              <w:jc w:val="center"/>
            </w:pPr>
            <w:r>
              <w:t>0</w:t>
            </w:r>
            <w:r w:rsidR="002E4F1F">
              <w:t>5</w:t>
            </w:r>
            <w:r w:rsidR="009F2976" w:rsidRPr="009F2976">
              <w:t>.02.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2E4F1F" w:rsidP="007E723D">
            <w:pPr>
              <w:jc w:val="center"/>
            </w:pPr>
            <w:r>
              <w:t>27</w:t>
            </w:r>
            <w:r w:rsidR="009F2976" w:rsidRP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  <w:p w:rsidR="0025157C" w:rsidRDefault="002515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2E4F1F" w:rsidP="007E723D">
            <w:pPr>
              <w:jc w:val="center"/>
            </w:pPr>
            <w:r>
              <w:t>06</w:t>
            </w:r>
            <w:r w:rsidR="009F2976" w:rsidRP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2E4F1F" w:rsidP="007E723D">
            <w:pPr>
              <w:jc w:val="center"/>
            </w:pPr>
            <w:r>
              <w:t>11</w:t>
            </w:r>
            <w:r w:rsidR="009F2976" w:rsidRP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7E723D">
        <w:tc>
          <w:tcPr>
            <w:tcW w:w="1418" w:type="dxa"/>
            <w:shd w:val="clear" w:color="auto" w:fill="FF99CC"/>
            <w:vAlign w:val="center"/>
          </w:tcPr>
          <w:p w:rsidR="009D6A7C" w:rsidRPr="00C504D8" w:rsidRDefault="00E64A6D" w:rsidP="007E72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Dječje p</w:t>
            </w:r>
            <w:r w:rsidR="00C504D8" w:rsidRPr="00C504D8">
              <w:rPr>
                <w:b/>
                <w:color w:val="FFFFFF" w:themeColor="background1"/>
              </w:rPr>
              <w:t>elene</w:t>
            </w:r>
          </w:p>
        </w:tc>
        <w:tc>
          <w:tcPr>
            <w:tcW w:w="1369" w:type="dxa"/>
            <w:vAlign w:val="center"/>
          </w:tcPr>
          <w:p w:rsidR="00825581" w:rsidRDefault="00825581" w:rsidP="00825581">
            <w:pPr>
              <w:jc w:val="center"/>
            </w:pPr>
            <w:r>
              <w:t>08.01.</w:t>
            </w:r>
          </w:p>
          <w:p w:rsidR="009D6A7C" w:rsidRDefault="00825581" w:rsidP="00825581">
            <w:pPr>
              <w:jc w:val="center"/>
            </w:pPr>
            <w:r>
              <w:t>22.01.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05.02.</w:t>
            </w:r>
          </w:p>
          <w:p w:rsidR="009D6A7C" w:rsidRDefault="00825581" w:rsidP="00825581">
            <w:pPr>
              <w:jc w:val="center"/>
            </w:pPr>
            <w:r>
              <w:t>19.02.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04.03.</w:t>
            </w:r>
          </w:p>
          <w:p w:rsidR="009D6A7C" w:rsidRDefault="00825581" w:rsidP="00825581">
            <w:pPr>
              <w:jc w:val="center"/>
            </w:pPr>
            <w:r>
              <w:t>18.03.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02.04.</w:t>
            </w:r>
          </w:p>
          <w:p w:rsidR="009D6A7C" w:rsidRDefault="00825581" w:rsidP="00825581">
            <w:pPr>
              <w:jc w:val="center"/>
            </w:pPr>
            <w:r>
              <w:t>15.04. 29.04.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13.05.</w:t>
            </w:r>
          </w:p>
          <w:p w:rsidR="009D6A7C" w:rsidRDefault="00825581" w:rsidP="00825581">
            <w:pPr>
              <w:jc w:val="center"/>
            </w:pPr>
            <w:r>
              <w:t>27.05.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10.06.</w:t>
            </w:r>
          </w:p>
          <w:p w:rsidR="009D6A7C" w:rsidRDefault="00825581" w:rsidP="00825581">
            <w:pPr>
              <w:jc w:val="center"/>
            </w:pPr>
            <w:r>
              <w:t>24.06.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08.07.</w:t>
            </w:r>
          </w:p>
          <w:p w:rsidR="009D6A7C" w:rsidRDefault="00825581" w:rsidP="00825581">
            <w:pPr>
              <w:jc w:val="center"/>
            </w:pPr>
            <w:r>
              <w:t>22.07.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06.08.</w:t>
            </w:r>
          </w:p>
          <w:p w:rsidR="009D6A7C" w:rsidRDefault="00825581" w:rsidP="00825581">
            <w:pPr>
              <w:jc w:val="center"/>
            </w:pPr>
            <w:r>
              <w:t>19.08.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02.09.</w:t>
            </w:r>
          </w:p>
          <w:p w:rsidR="009D6A7C" w:rsidRDefault="00825581" w:rsidP="00825581">
            <w:pPr>
              <w:jc w:val="center"/>
            </w:pPr>
            <w:r>
              <w:t>16.09. 30.09.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14.10.</w:t>
            </w:r>
          </w:p>
          <w:p w:rsidR="009D6A7C" w:rsidRDefault="00825581" w:rsidP="00825581">
            <w:pPr>
              <w:jc w:val="center"/>
            </w:pPr>
            <w:r>
              <w:t>28.10.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11.11.</w:t>
            </w:r>
          </w:p>
          <w:p w:rsidR="009D6A7C" w:rsidRDefault="00825581" w:rsidP="00825581">
            <w:pPr>
              <w:jc w:val="center"/>
            </w:pPr>
            <w:r>
              <w:t>25.11.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09.12.</w:t>
            </w:r>
          </w:p>
          <w:p w:rsidR="009D6A7C" w:rsidRDefault="00825581" w:rsidP="00825581">
            <w:pPr>
              <w:jc w:val="center"/>
            </w:pPr>
            <w:r>
              <w:t>23.12.</w:t>
            </w:r>
          </w:p>
        </w:tc>
      </w:tr>
    </w:tbl>
    <w:p w:rsidR="003F469C" w:rsidRDefault="00825581" w:rsidP="0025157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Raspored odvoza otpada za 2024</w:t>
      </w:r>
      <w:r w:rsidR="007E723D" w:rsidRPr="007E723D">
        <w:rPr>
          <w:b/>
          <w:sz w:val="24"/>
          <w:szCs w:val="24"/>
        </w:rPr>
        <w:t>. godinu</w:t>
      </w:r>
      <w:r w:rsidR="00CA2FD9">
        <w:rPr>
          <w:b/>
          <w:sz w:val="24"/>
          <w:szCs w:val="24"/>
        </w:rPr>
        <w:t xml:space="preserve"> </w:t>
      </w:r>
      <w:r w:rsidR="00BE57AB">
        <w:rPr>
          <w:b/>
          <w:sz w:val="24"/>
          <w:szCs w:val="24"/>
        </w:rPr>
        <w:t>–</w:t>
      </w:r>
      <w:r w:rsidR="00667DAF">
        <w:rPr>
          <w:b/>
          <w:sz w:val="24"/>
          <w:szCs w:val="24"/>
        </w:rPr>
        <w:t xml:space="preserve"> </w:t>
      </w:r>
      <w:r w:rsidR="00B4192C">
        <w:rPr>
          <w:b/>
          <w:sz w:val="24"/>
          <w:szCs w:val="24"/>
        </w:rPr>
        <w:t>Općina Mali B</w:t>
      </w:r>
      <w:r w:rsidR="00BE57AB" w:rsidRPr="00BE57AB">
        <w:rPr>
          <w:b/>
          <w:sz w:val="24"/>
          <w:szCs w:val="24"/>
        </w:rPr>
        <w:t>ukovec</w:t>
      </w:r>
    </w:p>
    <w:p w:rsidR="00BE57AB" w:rsidRPr="00BE57AB" w:rsidRDefault="00BE57AB" w:rsidP="00BE57AB">
      <w:pPr>
        <w:jc w:val="center"/>
        <w:rPr>
          <w:b/>
          <w:sz w:val="24"/>
          <w:szCs w:val="24"/>
        </w:rPr>
      </w:pPr>
    </w:p>
    <w:p w:rsidR="0025157C" w:rsidRDefault="0025157C" w:rsidP="003F469C">
      <w:pPr>
        <w:jc w:val="center"/>
        <w:rPr>
          <w:b/>
        </w:rPr>
      </w:pPr>
    </w:p>
    <w:p w:rsidR="003F469C" w:rsidRDefault="003F469C" w:rsidP="003F469C">
      <w:pPr>
        <w:jc w:val="center"/>
        <w:rPr>
          <w:b/>
        </w:rPr>
      </w:pPr>
      <w:r>
        <w:rPr>
          <w:b/>
        </w:rPr>
        <w:t>RASPORED R</w:t>
      </w:r>
      <w:r w:rsidR="000A1B4A">
        <w:rPr>
          <w:b/>
        </w:rPr>
        <w:t xml:space="preserve">ADA RECIKLAŽNOG DVORIŠTA </w:t>
      </w:r>
      <w:r w:rsidR="001630F0">
        <w:rPr>
          <w:b/>
        </w:rPr>
        <w:t xml:space="preserve">I MOBILNOG RECIKLAŽNOG DVORIŠTA </w:t>
      </w:r>
      <w:r w:rsidR="000A1B4A">
        <w:rPr>
          <w:b/>
        </w:rPr>
        <w:t>ZA 2024</w:t>
      </w:r>
      <w:r>
        <w:rPr>
          <w:b/>
        </w:rPr>
        <w:t>. GODINU</w:t>
      </w:r>
    </w:p>
    <w:tbl>
      <w:tblPr>
        <w:tblStyle w:val="Reetkatablice"/>
        <w:tblpPr w:leftFromText="180" w:rightFromText="180" w:vertAnchor="text" w:horzAnchor="margin" w:tblpXSpec="center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BE57AB" w:rsidTr="00BE57AB">
        <w:tc>
          <w:tcPr>
            <w:tcW w:w="14220" w:type="dxa"/>
            <w:shd w:val="clear" w:color="auto" w:fill="D9D9D9" w:themeFill="background1" w:themeFillShade="D9"/>
            <w:hideMark/>
          </w:tcPr>
          <w:p w:rsidR="00BE57AB" w:rsidRDefault="00BE57AB" w:rsidP="002A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RECIKLAŽNO DVORIŠTE „MEKA“ – Ludbreg, Ulica 5. studenog 31 </w:t>
            </w:r>
          </w:p>
          <w:p w:rsidR="00BE57AB" w:rsidRDefault="00BE57AB" w:rsidP="002A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Radno vrijeme: ponedjeljak 12:00 – 16:00 sati; srijeda 08:00 – 15:00 sati; subota 08:00 – 12:00 sati</w:t>
            </w:r>
          </w:p>
        </w:tc>
      </w:tr>
      <w:tr w:rsidR="00BE57AB" w:rsidTr="00BE57AB">
        <w:tc>
          <w:tcPr>
            <w:tcW w:w="14220" w:type="dxa"/>
            <w:hideMark/>
          </w:tcPr>
          <w:p w:rsidR="00BE57AB" w:rsidRDefault="00BE57AB" w:rsidP="002A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MOBILNO RECIKLAŽNO DVORIŠTE – </w:t>
            </w:r>
            <w:r>
              <w:t xml:space="preserve"> </w:t>
            </w:r>
            <w:r>
              <w:rPr>
                <w:sz w:val="20"/>
                <w:szCs w:val="20"/>
              </w:rPr>
              <w:t>MALI BUKOVEC, na parkiralištu kod groblja</w:t>
            </w:r>
          </w:p>
          <w:p w:rsidR="00BE57AB" w:rsidRDefault="00BE57AB" w:rsidP="002A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vrijeme: 12:00 – 16:00 sati                                                                                                                                       </w:t>
            </w:r>
            <w:r w:rsidR="002E4F1F">
              <w:rPr>
                <w:sz w:val="20"/>
                <w:szCs w:val="20"/>
              </w:rPr>
              <w:t xml:space="preserve">                              25.01., 18.04., 18.07., 17.10</w:t>
            </w:r>
            <w:r>
              <w:rPr>
                <w:sz w:val="20"/>
                <w:szCs w:val="20"/>
              </w:rPr>
              <w:t>.</w:t>
            </w:r>
          </w:p>
        </w:tc>
      </w:tr>
      <w:tr w:rsidR="00BE57AB" w:rsidTr="00BE57AB">
        <w:tc>
          <w:tcPr>
            <w:tcW w:w="14220" w:type="dxa"/>
            <w:shd w:val="clear" w:color="auto" w:fill="D9D9D9" w:themeFill="background1" w:themeFillShade="D9"/>
            <w:hideMark/>
          </w:tcPr>
          <w:p w:rsidR="00BE57AB" w:rsidRDefault="00BE57AB" w:rsidP="002A55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MOBILNO RECIKLAŽNO DVORIŠTE –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NOVO SELO PODRAVSKO, kod vage – </w:t>
            </w:r>
            <w:r>
              <w:rPr>
                <w:b/>
                <w:sz w:val="20"/>
                <w:szCs w:val="20"/>
              </w:rPr>
              <w:t xml:space="preserve">za Novo Selo Podravsko i </w:t>
            </w:r>
            <w:proofErr w:type="spellStart"/>
            <w:r>
              <w:rPr>
                <w:b/>
                <w:sz w:val="20"/>
                <w:szCs w:val="20"/>
              </w:rPr>
              <w:t>Županec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E57AB" w:rsidRDefault="00BE57AB" w:rsidP="002A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vrijeme: 12:00 – 16:00 sati                                                                                                                                       </w:t>
            </w:r>
            <w:r w:rsidR="002E4F1F">
              <w:rPr>
                <w:sz w:val="20"/>
                <w:szCs w:val="20"/>
              </w:rPr>
              <w:t xml:space="preserve">                              26.01</w:t>
            </w:r>
            <w:r>
              <w:rPr>
                <w:sz w:val="20"/>
                <w:szCs w:val="20"/>
              </w:rPr>
              <w:t xml:space="preserve">., </w:t>
            </w:r>
            <w:r w:rsidR="002E4F1F">
              <w:rPr>
                <w:sz w:val="20"/>
                <w:szCs w:val="20"/>
              </w:rPr>
              <w:t>19.04., 19.07., 18.10</w:t>
            </w:r>
            <w:r>
              <w:rPr>
                <w:sz w:val="20"/>
                <w:szCs w:val="20"/>
              </w:rPr>
              <w:t>.</w:t>
            </w:r>
          </w:p>
        </w:tc>
      </w:tr>
      <w:tr w:rsidR="00BE57AB" w:rsidTr="00BE57AB">
        <w:tc>
          <w:tcPr>
            <w:tcW w:w="14220" w:type="dxa"/>
            <w:hideMark/>
          </w:tcPr>
          <w:p w:rsidR="00BE57AB" w:rsidRDefault="00BE57AB" w:rsidP="002A55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MOBILNO RECIKLAŽNO DVORIŠTE –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LUNJKOVEC, kod društvenog doma – </w:t>
            </w: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Lunjkovec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Martinić</w:t>
            </w:r>
            <w:proofErr w:type="spellEnd"/>
          </w:p>
          <w:p w:rsidR="00BE57AB" w:rsidRDefault="00BE57AB" w:rsidP="002A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vrijeme: 12:00 – 16:00 sati                                                                                                                                       </w:t>
            </w:r>
            <w:r w:rsidR="002E4F1F">
              <w:rPr>
                <w:sz w:val="20"/>
                <w:szCs w:val="20"/>
              </w:rPr>
              <w:t xml:space="preserve">                              29.01., 22.04., 22.07., 21.10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BE57AB" w:rsidTr="00BE57AB">
        <w:tc>
          <w:tcPr>
            <w:tcW w:w="14220" w:type="dxa"/>
            <w:shd w:val="clear" w:color="auto" w:fill="D9D9D9" w:themeFill="background1" w:themeFillShade="D9"/>
            <w:hideMark/>
          </w:tcPr>
          <w:p w:rsidR="00BE57AB" w:rsidRDefault="00BE57AB" w:rsidP="002A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MOBILNO RECIKLAŽNO DVORIŠTE – </w:t>
            </w:r>
            <w:r>
              <w:t xml:space="preserve"> </w:t>
            </w:r>
            <w:r>
              <w:rPr>
                <w:sz w:val="20"/>
                <w:szCs w:val="20"/>
              </w:rPr>
              <w:t>SVETI PETAR, kod vatrogasnog spremišta</w:t>
            </w:r>
          </w:p>
          <w:p w:rsidR="00BE57AB" w:rsidRDefault="00BE57AB" w:rsidP="002A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vrijeme: 12:00 – 16:00 sati                                                                                                                                       </w:t>
            </w:r>
            <w:r w:rsidR="002E4F1F">
              <w:rPr>
                <w:sz w:val="20"/>
                <w:szCs w:val="20"/>
              </w:rPr>
              <w:t xml:space="preserve">                              30.01., 23.04., 23.07., 22</w:t>
            </w:r>
            <w:r w:rsidR="008A4B75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F2976" w:rsidRDefault="009F2976"/>
    <w:p w:rsidR="009F2976" w:rsidRDefault="009F2976"/>
    <w:p w:rsidR="009F2976" w:rsidRDefault="009F2976"/>
    <w:p w:rsidR="001630F0" w:rsidRDefault="001630F0"/>
    <w:p w:rsidR="001630F0" w:rsidRDefault="001630F0">
      <w:pPr>
        <w:sectPr w:rsidR="001630F0" w:rsidSect="003F469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630F0" w:rsidRDefault="001630F0">
      <w:r w:rsidRPr="001630F0">
        <w:rPr>
          <w:noProof/>
          <w:lang w:eastAsia="hr-HR"/>
        </w:rPr>
        <w:lastRenderedPageBreak/>
        <w:drawing>
          <wp:anchor distT="0" distB="0" distL="114300" distR="114300" simplePos="0" relativeHeight="251664384" behindDoc="1" locked="0" layoutInCell="1" allowOverlap="1" wp14:anchorId="33AEEF72" wp14:editId="5924AE52">
            <wp:simplePos x="0" y="0"/>
            <wp:positionH relativeFrom="margin">
              <wp:posOffset>2187958</wp:posOffset>
            </wp:positionH>
            <wp:positionV relativeFrom="paragraph">
              <wp:posOffset>-79375</wp:posOffset>
            </wp:positionV>
            <wp:extent cx="2407285" cy="66738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6673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630F0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21CF040B" wp14:editId="1DDAE800">
            <wp:simplePos x="0" y="0"/>
            <wp:positionH relativeFrom="rightMargin">
              <wp:posOffset>-608330</wp:posOffset>
            </wp:positionH>
            <wp:positionV relativeFrom="margin">
              <wp:posOffset>-22225</wp:posOffset>
            </wp:positionV>
            <wp:extent cx="480060" cy="411480"/>
            <wp:effectExtent l="0" t="0" r="0" b="7620"/>
            <wp:wrapNone/>
            <wp:docPr id="2" name="Slika 2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6504" t="41012" r="27764" b="1026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11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630F0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D714EF1" wp14:editId="4EEE2A06">
            <wp:simplePos x="0" y="0"/>
            <wp:positionH relativeFrom="margin">
              <wp:posOffset>5984240</wp:posOffset>
            </wp:positionH>
            <wp:positionV relativeFrom="margin">
              <wp:posOffset>477520</wp:posOffset>
            </wp:positionV>
            <wp:extent cx="578485" cy="217170"/>
            <wp:effectExtent l="0" t="0" r="0" b="0"/>
            <wp:wrapSquare wrapText="bothSides"/>
            <wp:docPr id="1" name="Slika 1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3644" t="6464" r="4453" b="58102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217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A3991">
        <w:rPr>
          <w:noProof/>
          <w:lang w:eastAsia="hr-HR"/>
        </w:rPr>
        <w:t xml:space="preserve">                                   </w:t>
      </w:r>
    </w:p>
    <w:p w:rsidR="001630F0" w:rsidRDefault="001630F0" w:rsidP="001630F0">
      <w:r w:rsidRPr="00F136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0821E" wp14:editId="6B6C90A3">
                <wp:simplePos x="0" y="0"/>
                <wp:positionH relativeFrom="margin">
                  <wp:posOffset>1205865</wp:posOffset>
                </wp:positionH>
                <wp:positionV relativeFrom="paragraph">
                  <wp:posOffset>310515</wp:posOffset>
                </wp:positionV>
                <wp:extent cx="4610100" cy="281305"/>
                <wp:effectExtent l="0" t="0" r="0" b="4445"/>
                <wp:wrapNone/>
                <wp:docPr id="7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30F0" w:rsidRDefault="001630F0" w:rsidP="001630F0"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T: 042 811 422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F: 042 811 494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E: </w:t>
                            </w:r>
                            <w:hyperlink r:id="rId7" w:history="1">
                              <w:r>
                                <w:t>lukom@lukom.hr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8" w:history="1">
                              <w:r>
                                <w:t>www.lukom.hr</w:t>
                              </w:r>
                            </w:hyperlink>
                          </w:p>
                          <w:p w:rsidR="001630F0" w:rsidRDefault="001630F0" w:rsidP="001630F0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1630F0" w:rsidRDefault="001630F0" w:rsidP="001630F0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1630F0" w:rsidRDefault="001630F0" w:rsidP="001630F0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4.95pt;margin-top:24.45pt;width:363pt;height:22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" stroked="f">
                <v:textbox>
                  <w:txbxContent>
                    <w:p w:rsidR="001630F0" w:rsidRDefault="001630F0" w:rsidP="001630F0"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T: 042 811 422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F: 042 811 494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E: </w:t>
                      </w:r>
                      <w:hyperlink r:id="rId9" w:history="1">
                        <w:r>
                          <w:t>lukom@lukom.hr</w:t>
                        </w:r>
                      </w:hyperlink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hyperlink r:id="rId10" w:history="1">
                        <w:r>
                          <w:t>www.lukom.hr</w:t>
                        </w:r>
                      </w:hyperlink>
                    </w:p>
                    <w:p w:rsidR="001630F0" w:rsidRDefault="001630F0" w:rsidP="001630F0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1630F0" w:rsidRDefault="001630F0" w:rsidP="001630F0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1630F0" w:rsidRDefault="001630F0" w:rsidP="001630F0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30F0" w:rsidRDefault="001630F0" w:rsidP="001630F0">
      <w:pPr>
        <w:suppressAutoHyphens/>
        <w:autoSpaceDN w:val="0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:rsidR="001630F0" w:rsidRPr="00F136A2" w:rsidRDefault="001630F0" w:rsidP="001630F0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F136A2">
        <w:rPr>
          <w:rFonts w:ascii="Calibri" w:eastAsia="Calibri" w:hAnsi="Calibri" w:cs="Times New Roman"/>
          <w:b/>
          <w:sz w:val="28"/>
          <w:szCs w:val="28"/>
        </w:rPr>
        <w:t>OBAVIJEST O SAKUPLJANJU KOMUNALNOG OTPADA</w:t>
      </w:r>
    </w:p>
    <w:p w:rsidR="001630F0" w:rsidRPr="00F136A2" w:rsidRDefault="001630F0" w:rsidP="001630F0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1630F0" w:rsidRPr="00F136A2" w:rsidRDefault="001630F0" w:rsidP="001630F0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>Poštovani korisnici,</w:t>
      </w:r>
    </w:p>
    <w:p w:rsidR="001630F0" w:rsidRPr="00F136A2" w:rsidRDefault="001630F0" w:rsidP="001630F0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1630F0" w:rsidRPr="00F136A2" w:rsidRDefault="001630F0" w:rsidP="001630F0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Sukladno Zakonu o gospodarenju otpadom šaljemo Vam  Obavijest o sakupljanju komunalnog otpada za iduću kalendarsku godinu. </w:t>
      </w:r>
    </w:p>
    <w:p w:rsidR="001630F0" w:rsidRPr="00F136A2" w:rsidRDefault="001630F0" w:rsidP="001630F0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Obavijest sadrži datume sakupljanja miješanog komunalnog otpada,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biootpada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reciklabilnog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otpada (papir, plastika, metal, staklo, tekstil) koji se prikupljaju na kućnom pragu, lokaciju i radno vrijeme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dvorišta i mobilnog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dvorišta.</w:t>
      </w:r>
    </w:p>
    <w:p w:rsidR="001630F0" w:rsidRPr="00F136A2" w:rsidRDefault="001630F0" w:rsidP="001630F0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U mobilno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dvorište mogu se predati manje količine otpada nastale u kućanstvu kao što su opasni otpad (baterije, žarulje, boje, lakovi, električna i elektronička oprema… ),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reciklabilni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otpad, glomazni otpad, a sve veće količine otpada predaju se u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dvorište na lokaciji Ulica 5. studenog 31, Ludbreg.</w:t>
      </w:r>
    </w:p>
    <w:p w:rsidR="001630F0" w:rsidRPr="00F136A2" w:rsidRDefault="001630F0" w:rsidP="001630F0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Za dodatne količine miješanog komunalnog otpada mogu se kupiti vreće od 60 ili 120 litara na blagajni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Lukoma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>. Roditelji koji imaju djecu starosti do dvije godine mogu preuzeti vreće za pelene, kod prvog preuzimanja vreća potrebno je donijeti rodni list na uvid.</w:t>
      </w:r>
    </w:p>
    <w:p w:rsidR="001630F0" w:rsidRPr="00F136A2" w:rsidRDefault="001630F0" w:rsidP="001630F0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Korisnici koji samostalno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kompostiraju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trebaju to raditi na način da ne onečišćuju tlo, vodu i zrak i da nema pojave neugodnih mirisa.</w:t>
      </w:r>
    </w:p>
    <w:p w:rsidR="001630F0" w:rsidRPr="00F136A2" w:rsidRDefault="001630F0" w:rsidP="001630F0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F136A2">
        <w:rPr>
          <w:rFonts w:ascii="Calibri" w:eastAsia="Calibri" w:hAnsi="Calibri" w:cs="Times New Roman"/>
          <w:sz w:val="24"/>
          <w:szCs w:val="24"/>
        </w:rPr>
        <w:t>Svaki korisnik ima jednom godišnje pravo na besplatan odvoz glomaznog otpada do 4m</w:t>
      </w:r>
      <w:r w:rsidRPr="00F136A2">
        <w:rPr>
          <w:rFonts w:ascii="Calibri" w:eastAsia="Calibri" w:hAnsi="Calibri" w:cs="Calibri"/>
          <w:sz w:val="24"/>
          <w:szCs w:val="24"/>
        </w:rPr>
        <w:t>³</w:t>
      </w:r>
      <w:r w:rsidRPr="00F136A2">
        <w:rPr>
          <w:rFonts w:ascii="Calibri" w:eastAsia="Calibri" w:hAnsi="Calibri" w:cs="Times New Roman"/>
          <w:sz w:val="24"/>
          <w:szCs w:val="24"/>
        </w:rPr>
        <w:t xml:space="preserve">, a svaki sljedeći odvoz naplaćuje se prema Cjeniku. Glomazni otpad odvozi se na zahtjev korisnika usluge, putem obrasca koji se može ispuniti u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Lukomu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ili preuzeti na našoj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internet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stranici te ga poslati na mail </w:t>
      </w:r>
      <w:hyperlink r:id="rId11" w:history="1">
        <w:r w:rsidRPr="00F136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F136A2">
        <w:rPr>
          <w:rFonts w:ascii="Calibri" w:eastAsia="Calibri" w:hAnsi="Calibri" w:cs="Times New Roman"/>
          <w:sz w:val="24"/>
          <w:szCs w:val="24"/>
        </w:rPr>
        <w:t xml:space="preserve">. Pod glomaznim otpadom iz kućanstva smatra se namještaj, kuhinjska i kupaonska oprema, podne obloge, stvari za djecu, vrtna oprema te ostali predmeti većih dimenzija koji su postali otpad. </w:t>
      </w:r>
    </w:p>
    <w:p w:rsidR="001630F0" w:rsidRPr="00F136A2" w:rsidRDefault="001630F0" w:rsidP="001630F0">
      <w:pPr>
        <w:suppressAutoHyphens/>
        <w:autoSpaceDN w:val="0"/>
        <w:ind w:firstLine="708"/>
        <w:textAlignment w:val="baseline"/>
        <w:rPr>
          <w:rFonts w:ascii="Calibri" w:eastAsia="Calibri" w:hAnsi="Calibri" w:cs="Times New Roman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Za sva pitanja i nejasnoće vezano uz otpad možete se obratiti na telefon 042/819-106 ili na mail </w:t>
      </w:r>
      <w:hyperlink r:id="rId12" w:history="1">
        <w:r w:rsidRPr="00F136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F136A2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1630F0" w:rsidRDefault="001630F0" w:rsidP="001630F0">
      <w:pPr>
        <w:ind w:firstLine="708"/>
      </w:pPr>
    </w:p>
    <w:p w:rsidR="001630F0" w:rsidRDefault="001630F0" w:rsidP="001630F0"/>
    <w:p w:rsidR="001630F0" w:rsidRPr="00F136A2" w:rsidRDefault="001630F0" w:rsidP="001630F0">
      <w:pPr>
        <w:ind w:firstLine="708"/>
      </w:pPr>
    </w:p>
    <w:p w:rsidR="001630F0" w:rsidRPr="008B14CF" w:rsidRDefault="001630F0" w:rsidP="001630F0">
      <w:r>
        <w:rPr>
          <w:rFonts w:ascii="Arial" w:hAnsi="Arial" w:cs="Arial"/>
          <w:noProof/>
          <w:color w:val="00000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E094D" wp14:editId="06F78D64">
                <wp:simplePos x="0" y="0"/>
                <wp:positionH relativeFrom="page">
                  <wp:posOffset>552342</wp:posOffset>
                </wp:positionH>
                <wp:positionV relativeFrom="paragraph">
                  <wp:posOffset>46355</wp:posOffset>
                </wp:positionV>
                <wp:extent cx="6469380" cy="487045"/>
                <wp:effectExtent l="0" t="0" r="7620" b="8255"/>
                <wp:wrapNone/>
                <wp:docPr id="6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30F0" w:rsidRDefault="001630F0" w:rsidP="001630F0">
                            <w:pPr>
                              <w:pStyle w:val="Bezproreda"/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 LUKOM d.o.o., Koprivnička 17, 42230 LUDBREG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OIB: 29732862130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Trgovački sud u Varaždinu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MBS: 070030050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IBAN: HR7723600001101747779 kod ZABA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 w:rsidRPr="00081D72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Temeljni kapital: 1.528.767,67 EUR (11.518.500,00 kn)  I   Direktor: Krešimir Horvat, </w:t>
                            </w:r>
                            <w:proofErr w:type="spellStart"/>
                            <w:r w:rsidRPr="00081D72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bacc.oec</w:t>
                            </w:r>
                            <w:proofErr w:type="spellEnd"/>
                          </w:p>
                          <w:p w:rsidR="001630F0" w:rsidRDefault="001630F0" w:rsidP="001630F0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1630F0" w:rsidRDefault="001630F0" w:rsidP="001630F0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1630F0" w:rsidRDefault="001630F0" w:rsidP="001630F0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1630F0" w:rsidRDefault="001630F0" w:rsidP="001630F0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1630F0" w:rsidRDefault="001630F0" w:rsidP="001630F0">
                            <w:pPr>
                              <w:pStyle w:val="Bezproreda"/>
                              <w:spacing w:line="36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.5pt;margin-top:3.65pt;width:509.4pt;height:38.3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" stroked="f">
                <v:textbox>
                  <w:txbxContent>
                    <w:p w:rsidR="001630F0" w:rsidRDefault="001630F0" w:rsidP="001630F0">
                      <w:pPr>
                        <w:pStyle w:val="Bezproreda"/>
                        <w:spacing w:line="360" w:lineRule="auto"/>
                      </w:pP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 LUKOM d.o.o., Koprivnička 17, 42230 LUDBREG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 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OIB: 29732862130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Trgovački sud u Varaždinu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MBS: 070030050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IBAN: HR7723600001101747779 kod ZABA 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 w:rsidRPr="00081D72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Temeljni kapital: 1.528.767,67 EUR (11.518.500,00 kn)  I   Direktor: Krešimir Horvat, </w:t>
                      </w:r>
                      <w:proofErr w:type="spellStart"/>
                      <w:r w:rsidRPr="00081D72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bacc.oec</w:t>
                      </w:r>
                      <w:proofErr w:type="spellEnd"/>
                    </w:p>
                    <w:p w:rsidR="001630F0" w:rsidRDefault="001630F0" w:rsidP="001630F0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1630F0" w:rsidRDefault="001630F0" w:rsidP="001630F0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1630F0" w:rsidRDefault="001630F0" w:rsidP="001630F0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1630F0" w:rsidRDefault="001630F0" w:rsidP="001630F0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1630F0" w:rsidRDefault="001630F0" w:rsidP="001630F0">
                      <w:pPr>
                        <w:pStyle w:val="Bezproreda"/>
                        <w:spacing w:line="36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630F0" w:rsidRPr="001630F0" w:rsidRDefault="001630F0" w:rsidP="001630F0"/>
    <w:sectPr w:rsidR="001630F0" w:rsidRPr="001630F0" w:rsidSect="00163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7C"/>
    <w:rsid w:val="000A1B4A"/>
    <w:rsid w:val="001630F0"/>
    <w:rsid w:val="001A6FED"/>
    <w:rsid w:val="0025157C"/>
    <w:rsid w:val="002E4F1F"/>
    <w:rsid w:val="002E52C9"/>
    <w:rsid w:val="003D0F57"/>
    <w:rsid w:val="003F469C"/>
    <w:rsid w:val="005343AA"/>
    <w:rsid w:val="005F5808"/>
    <w:rsid w:val="00600542"/>
    <w:rsid w:val="00667DAF"/>
    <w:rsid w:val="007C6CE6"/>
    <w:rsid w:val="007E723D"/>
    <w:rsid w:val="0080118E"/>
    <w:rsid w:val="00825581"/>
    <w:rsid w:val="008A4B75"/>
    <w:rsid w:val="008A558A"/>
    <w:rsid w:val="00951EAD"/>
    <w:rsid w:val="009D6A7C"/>
    <w:rsid w:val="009F2976"/>
    <w:rsid w:val="00A829CC"/>
    <w:rsid w:val="00AC046A"/>
    <w:rsid w:val="00B4192C"/>
    <w:rsid w:val="00BA3991"/>
    <w:rsid w:val="00BE57AB"/>
    <w:rsid w:val="00C504D8"/>
    <w:rsid w:val="00C73D8B"/>
    <w:rsid w:val="00CA2FD9"/>
    <w:rsid w:val="00D22EB5"/>
    <w:rsid w:val="00D3215D"/>
    <w:rsid w:val="00E64A6D"/>
    <w:rsid w:val="00EF0C92"/>
    <w:rsid w:val="00F504F4"/>
    <w:rsid w:val="00F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1630F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1630F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m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om@lukom.hr" TargetMode="External"/><Relationship Id="rId12" Type="http://schemas.openxmlformats.org/officeDocument/2006/relationships/hyperlink" Target="mailto:lukom@lukom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lukom@lukom.h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uk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om@luk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</dc:creator>
  <cp:lastModifiedBy>Lukom</cp:lastModifiedBy>
  <cp:revision>14</cp:revision>
  <cp:lastPrinted>2023-12-07T11:28:00Z</cp:lastPrinted>
  <dcterms:created xsi:type="dcterms:W3CDTF">2023-10-26T08:52:00Z</dcterms:created>
  <dcterms:modified xsi:type="dcterms:W3CDTF">2023-12-07T13:40:00Z</dcterms:modified>
</cp:coreProperties>
</file>